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11B0E" w14:textId="77777777" w:rsidR="000475C4" w:rsidRDefault="000475C4" w:rsidP="000475C4">
      <w:pPr>
        <w:spacing w:after="0" w:line="240" w:lineRule="auto"/>
        <w:jc w:val="center"/>
        <w:rPr>
          <w:b/>
          <w:bCs/>
        </w:rPr>
      </w:pPr>
    </w:p>
    <w:p w14:paraId="304D0409" w14:textId="77777777" w:rsidR="000475C4" w:rsidRDefault="000475C4" w:rsidP="000475C4">
      <w:pPr>
        <w:spacing w:after="0" w:line="240" w:lineRule="auto"/>
        <w:jc w:val="center"/>
        <w:rPr>
          <w:b/>
          <w:bCs/>
        </w:rPr>
      </w:pPr>
    </w:p>
    <w:p w14:paraId="46F89772" w14:textId="4677D675" w:rsidR="000475C4" w:rsidRPr="000175ED" w:rsidRDefault="000475C4" w:rsidP="000475C4">
      <w:pPr>
        <w:spacing w:after="0" w:line="240" w:lineRule="auto"/>
        <w:jc w:val="center"/>
        <w:rPr>
          <w:rFonts w:ascii="Times New Roman" w:hAnsi="Times New Roman" w:cs="Times New Roman"/>
          <w:b/>
          <w:bCs/>
          <w:sz w:val="28"/>
          <w:szCs w:val="28"/>
        </w:rPr>
      </w:pPr>
      <w:r w:rsidRPr="000175ED">
        <w:rPr>
          <w:rFonts w:ascii="Times New Roman" w:hAnsi="Times New Roman" w:cs="Times New Roman"/>
          <w:b/>
          <w:bCs/>
          <w:sz w:val="28"/>
          <w:szCs w:val="28"/>
        </w:rPr>
        <w:t xml:space="preserve">Naming and Message in the Mentawai </w:t>
      </w:r>
      <w:proofErr w:type="spellStart"/>
      <w:r w:rsidRPr="000175ED">
        <w:rPr>
          <w:rFonts w:ascii="Times New Roman" w:hAnsi="Times New Roman" w:cs="Times New Roman"/>
          <w:b/>
          <w:bCs/>
          <w:i/>
          <w:iCs/>
          <w:sz w:val="28"/>
          <w:szCs w:val="28"/>
        </w:rPr>
        <w:t>Turuk</w:t>
      </w:r>
      <w:proofErr w:type="spellEnd"/>
      <w:r w:rsidRPr="000175ED">
        <w:rPr>
          <w:rFonts w:ascii="Times New Roman" w:hAnsi="Times New Roman" w:cs="Times New Roman"/>
          <w:b/>
          <w:bCs/>
          <w:i/>
          <w:iCs/>
          <w:sz w:val="28"/>
          <w:szCs w:val="28"/>
        </w:rPr>
        <w:t xml:space="preserve"> </w:t>
      </w:r>
      <w:proofErr w:type="spellStart"/>
      <w:r w:rsidRPr="000175ED">
        <w:rPr>
          <w:rFonts w:ascii="Times New Roman" w:hAnsi="Times New Roman" w:cs="Times New Roman"/>
          <w:b/>
          <w:bCs/>
          <w:i/>
          <w:iCs/>
          <w:sz w:val="28"/>
          <w:szCs w:val="28"/>
        </w:rPr>
        <w:t>Laggai</w:t>
      </w:r>
      <w:proofErr w:type="spellEnd"/>
      <w:r w:rsidRPr="000175ED">
        <w:rPr>
          <w:rFonts w:ascii="Times New Roman" w:hAnsi="Times New Roman" w:cs="Times New Roman"/>
          <w:b/>
          <w:bCs/>
          <w:sz w:val="28"/>
          <w:szCs w:val="28"/>
        </w:rPr>
        <w:t>: An Onomastic Study</w:t>
      </w:r>
    </w:p>
    <w:p w14:paraId="0129280A" w14:textId="77777777" w:rsidR="000175ED" w:rsidRPr="000175ED" w:rsidRDefault="000175ED" w:rsidP="000475C4">
      <w:pPr>
        <w:spacing w:after="0" w:line="240" w:lineRule="auto"/>
        <w:jc w:val="center"/>
        <w:rPr>
          <w:rFonts w:ascii="Times New Roman" w:hAnsi="Times New Roman" w:cs="Times New Roman"/>
          <w:b/>
          <w:bCs/>
          <w:sz w:val="24"/>
          <w:szCs w:val="24"/>
        </w:rPr>
      </w:pPr>
    </w:p>
    <w:p w14:paraId="69F2C60F" w14:textId="55EE62D0" w:rsidR="000475C4" w:rsidRPr="000175ED" w:rsidRDefault="000475C4" w:rsidP="000475C4">
      <w:pPr>
        <w:spacing w:after="0" w:line="240" w:lineRule="auto"/>
        <w:jc w:val="center"/>
        <w:rPr>
          <w:rFonts w:ascii="Times New Roman" w:hAnsi="Times New Roman" w:cs="Times New Roman"/>
          <w:sz w:val="24"/>
          <w:szCs w:val="24"/>
          <w:lang w:val="en-US"/>
        </w:rPr>
      </w:pPr>
      <w:r w:rsidRPr="000175ED">
        <w:rPr>
          <w:rFonts w:ascii="Times New Roman" w:hAnsi="Times New Roman" w:cs="Times New Roman"/>
          <w:sz w:val="24"/>
          <w:szCs w:val="24"/>
          <w:lang w:val="en-US"/>
        </w:rPr>
        <w:t xml:space="preserve">Rita Novita, I Wayan Arka, </w:t>
      </w:r>
      <w:proofErr w:type="spellStart"/>
      <w:r w:rsidRPr="000175ED">
        <w:rPr>
          <w:rFonts w:ascii="Times New Roman" w:hAnsi="Times New Roman" w:cs="Times New Roman"/>
          <w:sz w:val="24"/>
          <w:szCs w:val="24"/>
          <w:lang w:val="en-US"/>
        </w:rPr>
        <w:t>Katubi</w:t>
      </w:r>
      <w:proofErr w:type="spellEnd"/>
      <w:r w:rsidRPr="000175ED">
        <w:rPr>
          <w:rFonts w:ascii="Times New Roman" w:hAnsi="Times New Roman" w:cs="Times New Roman"/>
          <w:sz w:val="24"/>
          <w:szCs w:val="24"/>
          <w:lang w:val="en-US"/>
        </w:rPr>
        <w:t xml:space="preserve">, </w:t>
      </w:r>
      <w:proofErr w:type="spellStart"/>
      <w:r w:rsidRPr="000175ED">
        <w:rPr>
          <w:rFonts w:ascii="Times New Roman" w:hAnsi="Times New Roman" w:cs="Times New Roman"/>
          <w:sz w:val="24"/>
          <w:szCs w:val="24"/>
          <w:lang w:val="en-US"/>
        </w:rPr>
        <w:t>Sumario</w:t>
      </w:r>
      <w:proofErr w:type="spellEnd"/>
      <w:r w:rsidRPr="000175ED">
        <w:rPr>
          <w:rFonts w:ascii="Times New Roman" w:hAnsi="Times New Roman" w:cs="Times New Roman"/>
          <w:sz w:val="24"/>
          <w:szCs w:val="24"/>
          <w:lang w:val="en-US"/>
        </w:rPr>
        <w:t xml:space="preserve"> </w:t>
      </w:r>
      <w:proofErr w:type="spellStart"/>
      <w:r w:rsidRPr="000175ED">
        <w:rPr>
          <w:rFonts w:ascii="Times New Roman" w:hAnsi="Times New Roman" w:cs="Times New Roman"/>
          <w:sz w:val="24"/>
          <w:szCs w:val="24"/>
          <w:lang w:val="en-US"/>
        </w:rPr>
        <w:t>Tatubeket</w:t>
      </w:r>
      <w:proofErr w:type="spellEnd"/>
    </w:p>
    <w:p w14:paraId="42885FA8" w14:textId="77777777" w:rsidR="006407CF" w:rsidRPr="000175ED" w:rsidRDefault="006407CF" w:rsidP="006407CF">
      <w:pPr>
        <w:spacing w:after="0" w:line="240" w:lineRule="auto"/>
        <w:jc w:val="center"/>
        <w:rPr>
          <w:rFonts w:ascii="Times New Roman" w:hAnsi="Times New Roman" w:cs="Times New Roman"/>
          <w:sz w:val="24"/>
          <w:szCs w:val="24"/>
        </w:rPr>
      </w:pPr>
      <w:r w:rsidRPr="000175ED">
        <w:rPr>
          <w:rFonts w:ascii="Times New Roman" w:hAnsi="Times New Roman" w:cs="Times New Roman"/>
          <w:sz w:val="24"/>
          <w:szCs w:val="24"/>
          <w:lang w:val="en-US"/>
        </w:rPr>
        <w:t>National Research and Innovation Agency (BRIN),</w:t>
      </w:r>
    </w:p>
    <w:p w14:paraId="04CA8933" w14:textId="77777777" w:rsidR="006407CF" w:rsidRPr="000175ED" w:rsidRDefault="006407CF" w:rsidP="006407CF">
      <w:pPr>
        <w:spacing w:after="0" w:line="240" w:lineRule="auto"/>
        <w:jc w:val="center"/>
        <w:rPr>
          <w:rFonts w:ascii="Times New Roman" w:hAnsi="Times New Roman" w:cs="Times New Roman"/>
          <w:sz w:val="24"/>
          <w:szCs w:val="24"/>
        </w:rPr>
      </w:pPr>
      <w:r w:rsidRPr="000175ED">
        <w:rPr>
          <w:rFonts w:ascii="Times New Roman" w:hAnsi="Times New Roman" w:cs="Times New Roman"/>
          <w:sz w:val="24"/>
          <w:szCs w:val="24"/>
          <w:lang w:val="en-US"/>
        </w:rPr>
        <w:t>Australian National University, Australian Research Council (ARC)</w:t>
      </w:r>
    </w:p>
    <w:p w14:paraId="18377A44" w14:textId="77777777" w:rsidR="000475C4" w:rsidRDefault="000475C4" w:rsidP="000475C4">
      <w:pPr>
        <w:spacing w:after="0" w:line="240" w:lineRule="auto"/>
        <w:jc w:val="center"/>
        <w:rPr>
          <w:b/>
          <w:bCs/>
          <w:lang w:val="en-US"/>
        </w:rPr>
      </w:pPr>
    </w:p>
    <w:p w14:paraId="7D494E32" w14:textId="77777777" w:rsidR="000175ED" w:rsidRDefault="000175ED" w:rsidP="000175ED">
      <w:pPr>
        <w:spacing w:after="0" w:line="240" w:lineRule="auto"/>
        <w:jc w:val="center"/>
        <w:rPr>
          <w:rFonts w:ascii="Arial" w:hAnsi="Arial" w:cs="Arial"/>
          <w:b/>
          <w:bCs/>
          <w:sz w:val="24"/>
          <w:szCs w:val="24"/>
        </w:rPr>
      </w:pPr>
    </w:p>
    <w:p w14:paraId="69779CA8" w14:textId="47A76E8F" w:rsidR="000175ED" w:rsidRPr="000175ED" w:rsidRDefault="000175ED" w:rsidP="000175ED">
      <w:pPr>
        <w:spacing w:after="0" w:line="240" w:lineRule="auto"/>
        <w:jc w:val="center"/>
        <w:rPr>
          <w:rFonts w:ascii="Arial" w:hAnsi="Arial" w:cs="Arial"/>
          <w:b/>
          <w:bCs/>
          <w:sz w:val="24"/>
          <w:szCs w:val="24"/>
        </w:rPr>
      </w:pPr>
      <w:r w:rsidRPr="000175ED">
        <w:rPr>
          <w:rFonts w:ascii="Arial" w:hAnsi="Arial" w:cs="Arial"/>
          <w:b/>
          <w:bCs/>
          <w:sz w:val="24"/>
          <w:szCs w:val="24"/>
        </w:rPr>
        <w:t>Abstract</w:t>
      </w:r>
    </w:p>
    <w:p w14:paraId="58FF96D6" w14:textId="77777777" w:rsidR="000475C4" w:rsidRPr="000175ED" w:rsidRDefault="000475C4" w:rsidP="000475C4">
      <w:pPr>
        <w:spacing w:after="0" w:line="240" w:lineRule="auto"/>
        <w:jc w:val="center"/>
        <w:rPr>
          <w:rFonts w:ascii="Arial" w:hAnsi="Arial" w:cs="Arial"/>
          <w:sz w:val="24"/>
          <w:szCs w:val="24"/>
        </w:rPr>
      </w:pPr>
    </w:p>
    <w:p w14:paraId="49D6DB56" w14:textId="77777777" w:rsidR="000475C4" w:rsidRPr="000175ED" w:rsidRDefault="000475C4" w:rsidP="000475C4">
      <w:pPr>
        <w:jc w:val="both"/>
        <w:rPr>
          <w:rFonts w:ascii="Arial" w:hAnsi="Arial" w:cs="Arial"/>
          <w:sz w:val="24"/>
          <w:szCs w:val="24"/>
        </w:rPr>
      </w:pPr>
      <w:r w:rsidRPr="000175ED">
        <w:rPr>
          <w:rFonts w:ascii="Arial" w:hAnsi="Arial" w:cs="Arial"/>
          <w:sz w:val="24"/>
          <w:szCs w:val="24"/>
        </w:rPr>
        <w:t xml:space="preserve">The way a community names things reveals how it perceives and evaluates its world. This paper examines the naming system of </w:t>
      </w:r>
      <w:proofErr w:type="spellStart"/>
      <w:r w:rsidRPr="000175ED">
        <w:rPr>
          <w:rFonts w:ascii="Arial" w:hAnsi="Arial" w:cs="Arial"/>
          <w:i/>
          <w:iCs/>
          <w:sz w:val="24"/>
          <w:szCs w:val="24"/>
        </w:rPr>
        <w:t>turuk</w:t>
      </w:r>
      <w:proofErr w:type="spellEnd"/>
      <w:r w:rsidRPr="000175ED">
        <w:rPr>
          <w:rFonts w:ascii="Arial" w:hAnsi="Arial" w:cs="Arial"/>
          <w:i/>
          <w:iCs/>
          <w:sz w:val="24"/>
          <w:szCs w:val="24"/>
        </w:rPr>
        <w:t xml:space="preserve"> </w:t>
      </w:r>
      <w:proofErr w:type="spellStart"/>
      <w:r w:rsidRPr="000175ED">
        <w:rPr>
          <w:rFonts w:ascii="Arial" w:hAnsi="Arial" w:cs="Arial"/>
          <w:i/>
          <w:iCs/>
          <w:sz w:val="24"/>
          <w:szCs w:val="24"/>
        </w:rPr>
        <w:t>laggai</w:t>
      </w:r>
      <w:proofErr w:type="spellEnd"/>
      <w:r w:rsidRPr="000175ED">
        <w:rPr>
          <w:rFonts w:ascii="Arial" w:hAnsi="Arial" w:cs="Arial"/>
          <w:sz w:val="24"/>
          <w:szCs w:val="24"/>
        </w:rPr>
        <w:t xml:space="preserve">, the ritual dance of the Mentawai people, in which every variant bears the uniform pattern </w:t>
      </w:r>
      <w:proofErr w:type="spellStart"/>
      <w:r w:rsidRPr="000175ED">
        <w:rPr>
          <w:rFonts w:ascii="Arial" w:hAnsi="Arial" w:cs="Arial"/>
          <w:i/>
          <w:iCs/>
          <w:sz w:val="24"/>
          <w:szCs w:val="24"/>
        </w:rPr>
        <w:t>uliat</w:t>
      </w:r>
      <w:proofErr w:type="spellEnd"/>
      <w:r w:rsidRPr="000175ED">
        <w:rPr>
          <w:rFonts w:ascii="Arial" w:hAnsi="Arial" w:cs="Arial"/>
          <w:sz w:val="24"/>
          <w:szCs w:val="24"/>
        </w:rPr>
        <w:t xml:space="preserve"> ("imitation") plus the name of a creature, and is elaborated by a chant that admonishes that creature. Using a descriptive qualitative design within an ethnolinguistic framework, the study analyses fourteen </w:t>
      </w:r>
      <w:proofErr w:type="spellStart"/>
      <w:r w:rsidRPr="000175ED">
        <w:rPr>
          <w:rFonts w:ascii="Arial" w:hAnsi="Arial" w:cs="Arial"/>
          <w:i/>
          <w:iCs/>
          <w:sz w:val="24"/>
          <w:szCs w:val="24"/>
        </w:rPr>
        <w:t>turuk</w:t>
      </w:r>
      <w:proofErr w:type="spellEnd"/>
      <w:r w:rsidRPr="000175ED">
        <w:rPr>
          <w:rFonts w:ascii="Arial" w:hAnsi="Arial" w:cs="Arial"/>
          <w:i/>
          <w:iCs/>
          <w:sz w:val="24"/>
          <w:szCs w:val="24"/>
        </w:rPr>
        <w:t xml:space="preserve"> </w:t>
      </w:r>
      <w:proofErr w:type="spellStart"/>
      <w:r w:rsidRPr="000175ED">
        <w:rPr>
          <w:rFonts w:ascii="Arial" w:hAnsi="Arial" w:cs="Arial"/>
          <w:i/>
          <w:iCs/>
          <w:sz w:val="24"/>
          <w:szCs w:val="24"/>
        </w:rPr>
        <w:t>laggai</w:t>
      </w:r>
      <w:proofErr w:type="spellEnd"/>
      <w:r w:rsidRPr="000175ED">
        <w:rPr>
          <w:rFonts w:ascii="Arial" w:hAnsi="Arial" w:cs="Arial"/>
          <w:sz w:val="24"/>
          <w:szCs w:val="24"/>
        </w:rPr>
        <w:t xml:space="preserve"> variants documented in </w:t>
      </w:r>
      <w:proofErr w:type="spellStart"/>
      <w:r w:rsidRPr="000175ED">
        <w:rPr>
          <w:rFonts w:ascii="Arial" w:hAnsi="Arial" w:cs="Arial"/>
          <w:sz w:val="24"/>
          <w:szCs w:val="24"/>
        </w:rPr>
        <w:t>Matotonan</w:t>
      </w:r>
      <w:proofErr w:type="spellEnd"/>
      <w:r w:rsidRPr="000175ED">
        <w:rPr>
          <w:rFonts w:ascii="Arial" w:hAnsi="Arial" w:cs="Arial"/>
          <w:sz w:val="24"/>
          <w:szCs w:val="24"/>
        </w:rPr>
        <w:t xml:space="preserve"> Village through observation and note-taking, with referential-identity and distributional methods of analysis (Sudaryanto, 2015). Names were inventoried at two levels — the dance title and the name appearing in the chant — then classified by referent, lingual form, and naming basis, and finally tested against five indicators of </w:t>
      </w:r>
      <w:proofErr w:type="spellStart"/>
      <w:r w:rsidRPr="000175ED">
        <w:rPr>
          <w:rFonts w:ascii="Arial" w:hAnsi="Arial" w:cs="Arial"/>
          <w:sz w:val="24"/>
          <w:szCs w:val="24"/>
        </w:rPr>
        <w:t>anthroponymisation</w:t>
      </w:r>
      <w:proofErr w:type="spellEnd"/>
      <w:r w:rsidRPr="000175ED">
        <w:rPr>
          <w:rFonts w:ascii="Arial" w:hAnsi="Arial" w:cs="Arial"/>
          <w:sz w:val="24"/>
          <w:szCs w:val="24"/>
        </w:rPr>
        <w:t xml:space="preserve">. All fourteen referents are animals: eleven Aves drawn from eight orders (78.6%), two </w:t>
      </w:r>
      <w:proofErr w:type="spellStart"/>
      <w:r w:rsidRPr="000175ED">
        <w:rPr>
          <w:rFonts w:ascii="Arial" w:hAnsi="Arial" w:cs="Arial"/>
          <w:sz w:val="24"/>
          <w:szCs w:val="24"/>
        </w:rPr>
        <w:t>Insecta</w:t>
      </w:r>
      <w:proofErr w:type="spellEnd"/>
      <w:r w:rsidRPr="000175ED">
        <w:rPr>
          <w:rFonts w:ascii="Arial" w:hAnsi="Arial" w:cs="Arial"/>
          <w:sz w:val="24"/>
          <w:szCs w:val="24"/>
        </w:rPr>
        <w:t>, and one Mammalia, so that thirteen of fourteen referents are winged. Dance titles are concise because they designate, whereas chant names are long and flexible because they depict, ranging from monomorphemic forms to reduplication and descriptive phrases. Because these animal names are both vocative and evaluative, they function as anthroponyms rather than mere personifications. The chants convey moral, ecological, religious, and pedagogical messages: advice addressed to the birds is in truth addressed to the people who sing it. Naming supplies the voice of this system; classification supplies its structure.</w:t>
      </w:r>
    </w:p>
    <w:p w14:paraId="7B1C7934" w14:textId="529E601A" w:rsidR="000475C4" w:rsidRPr="000175ED" w:rsidRDefault="000475C4" w:rsidP="000475C4">
      <w:pPr>
        <w:jc w:val="both"/>
        <w:rPr>
          <w:rFonts w:ascii="Arial" w:hAnsi="Arial" w:cs="Arial"/>
          <w:sz w:val="24"/>
          <w:szCs w:val="24"/>
        </w:rPr>
      </w:pPr>
      <w:r w:rsidRPr="000175ED">
        <w:rPr>
          <w:rFonts w:ascii="Arial" w:hAnsi="Arial" w:cs="Arial"/>
          <w:b/>
          <w:bCs/>
          <w:sz w:val="24"/>
          <w:szCs w:val="24"/>
        </w:rPr>
        <w:t>Keywords:</w:t>
      </w:r>
      <w:r w:rsidRPr="000175ED">
        <w:rPr>
          <w:rFonts w:ascii="Arial" w:hAnsi="Arial" w:cs="Arial"/>
          <w:sz w:val="24"/>
          <w:szCs w:val="24"/>
        </w:rPr>
        <w:t xml:space="preserve"> onomastics, </w:t>
      </w:r>
      <w:proofErr w:type="spellStart"/>
      <w:r w:rsidRPr="000175ED">
        <w:rPr>
          <w:rFonts w:ascii="Arial" w:hAnsi="Arial" w:cs="Arial"/>
          <w:sz w:val="24"/>
          <w:szCs w:val="24"/>
        </w:rPr>
        <w:t>anthroponymisation</w:t>
      </w:r>
      <w:proofErr w:type="spellEnd"/>
      <w:r w:rsidRPr="000175ED">
        <w:rPr>
          <w:rFonts w:ascii="Arial" w:hAnsi="Arial" w:cs="Arial"/>
          <w:sz w:val="24"/>
          <w:szCs w:val="24"/>
        </w:rPr>
        <w:t xml:space="preserve">, </w:t>
      </w:r>
      <w:proofErr w:type="spellStart"/>
      <w:r w:rsidRPr="000175ED">
        <w:rPr>
          <w:rFonts w:ascii="Arial" w:hAnsi="Arial" w:cs="Arial"/>
          <w:i/>
          <w:iCs/>
          <w:sz w:val="24"/>
          <w:szCs w:val="24"/>
        </w:rPr>
        <w:t>turuk</w:t>
      </w:r>
      <w:proofErr w:type="spellEnd"/>
      <w:r w:rsidRPr="000175ED">
        <w:rPr>
          <w:rFonts w:ascii="Arial" w:hAnsi="Arial" w:cs="Arial"/>
          <w:i/>
          <w:iCs/>
          <w:sz w:val="24"/>
          <w:szCs w:val="24"/>
        </w:rPr>
        <w:t xml:space="preserve"> </w:t>
      </w:r>
      <w:proofErr w:type="spellStart"/>
      <w:r w:rsidRPr="000175ED">
        <w:rPr>
          <w:rFonts w:ascii="Arial" w:hAnsi="Arial" w:cs="Arial"/>
          <w:i/>
          <w:iCs/>
          <w:sz w:val="24"/>
          <w:szCs w:val="24"/>
        </w:rPr>
        <w:t>laggai</w:t>
      </w:r>
      <w:proofErr w:type="spellEnd"/>
      <w:r w:rsidRPr="000175ED">
        <w:rPr>
          <w:rFonts w:ascii="Arial" w:hAnsi="Arial" w:cs="Arial"/>
          <w:sz w:val="24"/>
          <w:szCs w:val="24"/>
        </w:rPr>
        <w:t>, Mentawai, ethnolinguistics, oral tradition</w:t>
      </w:r>
    </w:p>
    <w:p w14:paraId="0E99A905" w14:textId="77777777" w:rsidR="00C6454A" w:rsidRDefault="00C6454A" w:rsidP="000475C4">
      <w:pPr>
        <w:jc w:val="both"/>
      </w:pPr>
    </w:p>
    <w:sectPr w:rsidR="00C645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5C4"/>
    <w:rsid w:val="000175ED"/>
    <w:rsid w:val="000475C4"/>
    <w:rsid w:val="00175B59"/>
    <w:rsid w:val="00407B93"/>
    <w:rsid w:val="0057604F"/>
    <w:rsid w:val="006407CF"/>
    <w:rsid w:val="009B171B"/>
    <w:rsid w:val="00C6454A"/>
    <w:rsid w:val="00C953FE"/>
    <w:rsid w:val="00F70D2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34F9B"/>
  <w15:chartTrackingRefBased/>
  <w15:docId w15:val="{3AC1B5B2-E33A-4FF9-978B-3FF82BE2E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75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475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475C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475C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475C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475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75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75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75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75C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475C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475C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475C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475C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475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75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75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75C4"/>
    <w:rPr>
      <w:rFonts w:eastAsiaTheme="majorEastAsia" w:cstheme="majorBidi"/>
      <w:color w:val="272727" w:themeColor="text1" w:themeTint="D8"/>
    </w:rPr>
  </w:style>
  <w:style w:type="paragraph" w:styleId="Title">
    <w:name w:val="Title"/>
    <w:basedOn w:val="Normal"/>
    <w:next w:val="Normal"/>
    <w:link w:val="TitleChar"/>
    <w:uiPriority w:val="10"/>
    <w:qFormat/>
    <w:rsid w:val="000475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75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75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75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75C4"/>
    <w:pPr>
      <w:spacing w:before="160"/>
      <w:jc w:val="center"/>
    </w:pPr>
    <w:rPr>
      <w:i/>
      <w:iCs/>
      <w:color w:val="404040" w:themeColor="text1" w:themeTint="BF"/>
    </w:rPr>
  </w:style>
  <w:style w:type="character" w:customStyle="1" w:styleId="QuoteChar">
    <w:name w:val="Quote Char"/>
    <w:basedOn w:val="DefaultParagraphFont"/>
    <w:link w:val="Quote"/>
    <w:uiPriority w:val="29"/>
    <w:rsid w:val="000475C4"/>
    <w:rPr>
      <w:i/>
      <w:iCs/>
      <w:color w:val="404040" w:themeColor="text1" w:themeTint="BF"/>
    </w:rPr>
  </w:style>
  <w:style w:type="paragraph" w:styleId="ListParagraph">
    <w:name w:val="List Paragraph"/>
    <w:basedOn w:val="Normal"/>
    <w:uiPriority w:val="34"/>
    <w:qFormat/>
    <w:rsid w:val="000475C4"/>
    <w:pPr>
      <w:ind w:left="720"/>
      <w:contextualSpacing/>
    </w:pPr>
  </w:style>
  <w:style w:type="character" w:styleId="IntenseEmphasis">
    <w:name w:val="Intense Emphasis"/>
    <w:basedOn w:val="DefaultParagraphFont"/>
    <w:uiPriority w:val="21"/>
    <w:qFormat/>
    <w:rsid w:val="000475C4"/>
    <w:rPr>
      <w:i/>
      <w:iCs/>
      <w:color w:val="2F5496" w:themeColor="accent1" w:themeShade="BF"/>
    </w:rPr>
  </w:style>
  <w:style w:type="paragraph" w:styleId="IntenseQuote">
    <w:name w:val="Intense Quote"/>
    <w:basedOn w:val="Normal"/>
    <w:next w:val="Normal"/>
    <w:link w:val="IntenseQuoteChar"/>
    <w:uiPriority w:val="30"/>
    <w:qFormat/>
    <w:rsid w:val="000475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475C4"/>
    <w:rPr>
      <w:i/>
      <w:iCs/>
      <w:color w:val="2F5496" w:themeColor="accent1" w:themeShade="BF"/>
    </w:rPr>
  </w:style>
  <w:style w:type="character" w:styleId="IntenseReference">
    <w:name w:val="Intense Reference"/>
    <w:basedOn w:val="DefaultParagraphFont"/>
    <w:uiPriority w:val="32"/>
    <w:qFormat/>
    <w:rsid w:val="000475C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283</Words>
  <Characters>1614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Engga Zakaria Sangian</cp:lastModifiedBy>
  <cp:revision>3</cp:revision>
  <dcterms:created xsi:type="dcterms:W3CDTF">2026-08-16T01:19:00Z</dcterms:created>
  <dcterms:modified xsi:type="dcterms:W3CDTF">2026-08-16T08:31:00Z</dcterms:modified>
</cp:coreProperties>
</file>